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Klimata politikas simulācija: “klimata taisnīguma vanagi”</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GB" w:eastAsia="zh-TW"/>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zh-TW"/>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Adresāts:</w:t>
      </w:r>
      <w:r>
        <w:rPr>
          <w:color w:val="000000"/>
        </w:rPr>
        <w:tab/>
        <w:t>Sarunu vadītāji, kas pārstāv “klimata taisnīguma vanagus”</w:t>
      </w:r>
    </w:p>
    <w:p w:rsidR="00EC0416" w:rsidRPr="001132FC" w:rsidRDefault="00AA379D" w:rsidP="00B82371">
      <w:pPr>
        <w:pStyle w:val="Bodytext40"/>
        <w:shd w:val="clear" w:color="auto" w:fill="auto"/>
        <w:tabs>
          <w:tab w:val="left" w:pos="1442"/>
        </w:tabs>
        <w:spacing w:after="120" w:line="276" w:lineRule="auto"/>
      </w:pPr>
      <w:r>
        <w:rPr>
          <w:color w:val="000000"/>
        </w:rPr>
        <w:t>Temats:</w:t>
      </w:r>
      <w:r>
        <w:rPr>
          <w:color w:val="000000"/>
        </w:rPr>
        <w:tab/>
        <w:t>Gatavošanās samitam par klimata politiku</w:t>
      </w:r>
    </w:p>
    <w:p w:rsidR="00EC0416" w:rsidRPr="001132FC" w:rsidRDefault="00AA379D" w:rsidP="00B82371">
      <w:pPr>
        <w:pStyle w:val="Bodytext20"/>
        <w:shd w:val="clear" w:color="auto" w:fill="auto"/>
        <w:spacing w:before="0" w:line="276" w:lineRule="auto"/>
        <w:ind w:firstLine="0"/>
      </w:pPr>
      <w:r>
        <w:rPr>
          <w:color w:val="000000"/>
        </w:rPr>
        <w:t xml:space="preserve">Esiet sveicināti samitā par klimata politiku! Jūs un visu ieinteresēto grupu vadītāji esat saņēmuši ANO ģenerālsekretāra uzaicinājumu sadarboties, lai sekmīgi risinātu klimata pārmaiņu jautājumu. Ielūgumā ģenerālsekretārs </w:t>
      </w:r>
      <w:r>
        <w:rPr>
          <w:rStyle w:val="Bodytext21"/>
        </w:rPr>
        <w:t>ir norādījis</w:t>
      </w:r>
      <w:r>
        <w:rPr>
          <w:color w:val="000000"/>
        </w:rPr>
        <w:t>: “Ārkārtas stāvoklis klimata jomā sacensība, kurā mēs šobrīd zaudējam, bet kurā mēs vēl varam uzvarēt (..). Nopietni zinātniski pētī</w:t>
      </w:r>
      <w:bookmarkStart w:id="1" w:name="_GoBack"/>
      <w:bookmarkEnd w:id="1"/>
      <w:r>
        <w:rPr>
          <w:color w:val="000000"/>
        </w:rPr>
        <w:t>jumi (..) liecina, ka temperatūras paaugstināšanās par vairāk nekā 1,5°C nodarīs milzīgu un neatgriezenisku kaitējumu ekosistēmām, kas mūs uztur (..). Taču, pēc zinātnieku domām, vēl nav par vēlu. Mēs to varam (..). Taču būs nepieciešamas fundamentālas pārmaiņas visos sabiedrības uzvedības aspektos — būs jāmaina tas, kā audzējam pārtiku un izmantojam zemi, ar kādu degvielu darbinām transportu un kādu enerģiju nodrošinām ekonomikas vajadzībām (..). Rīkodamies kopā, mēs nevienu neatstāsim novārtā.”</w:t>
      </w:r>
    </w:p>
    <w:p w:rsidR="00EC0416" w:rsidRPr="001132FC" w:rsidRDefault="00AA379D" w:rsidP="00B82371">
      <w:pPr>
        <w:pStyle w:val="Bodytext20"/>
        <w:shd w:val="clear" w:color="auto" w:fill="auto"/>
        <w:spacing w:before="0" w:line="276" w:lineRule="auto"/>
        <w:ind w:firstLine="0"/>
      </w:pPr>
      <w:r>
        <w:rPr>
          <w:color w:val="000000"/>
        </w:rPr>
        <w:t xml:space="preserve">Samita mērķis ir izstrādāt plānu, kā ierobežot globālo sasilšanu, lai tā nepārsniegtu 2°C [3,6°F] salīdzinājumā ar </w:t>
      </w:r>
      <w:proofErr w:type="spellStart"/>
      <w:r>
        <w:rPr>
          <w:color w:val="000000"/>
        </w:rPr>
        <w:t>pirmsindustriālā</w:t>
      </w:r>
      <w:proofErr w:type="spellEnd"/>
      <w:r>
        <w:rPr>
          <w:color w:val="000000"/>
        </w:rPr>
        <w:t xml:space="preserve"> laikmeta līmeni, un censties panākt, lai tā nepārsniedz 1,5°C [2,7°F], proti, starptautiskos mērķus, kas oficiāli atzīti Parīzes nolīgumā par klimata pārmaiņām. </w:t>
      </w:r>
      <w:r>
        <w:rPr>
          <w:rStyle w:val="Bodytext21"/>
        </w:rPr>
        <w:t>Zinātniskie pierādījumi</w:t>
      </w:r>
      <w:r>
        <w:rPr>
          <w:color w:val="000000"/>
        </w:rPr>
        <w:t xml:space="preserve"> ir nepārprotami: sasilšana, kas pārsniedz minētās robežas, radīs katastrofālu un neatgriezenisku ietekmi, kura apdraudēs visu pasaules valstu iedzīvotāju veselību, labklājību un pat dzīvību.</w:t>
      </w:r>
    </w:p>
    <w:p w:rsidR="00EC0416" w:rsidRPr="001132FC" w:rsidRDefault="00AA379D" w:rsidP="00B82371">
      <w:pPr>
        <w:pStyle w:val="Bodytext20"/>
        <w:shd w:val="clear" w:color="auto" w:fill="auto"/>
        <w:spacing w:before="0" w:after="140" w:line="276" w:lineRule="auto"/>
        <w:ind w:firstLine="0"/>
      </w:pPr>
      <w:r>
        <w:rPr>
          <w:color w:val="000000"/>
        </w:rPr>
        <w:t xml:space="preserve">Jūsu grupā ietilpst lielas un atzītas vides aizsardzības organizācijas un jaunākās jauniešu vadītās organizācijas — tām ir miljoniem atbalstītāju visā pasaulē. Grupā ietverti arī visapdraudētāko kopienu, piemēram, mazo salu valstu un pirmiedzīvotāju, pārstāvji. Viņi ir pirmie, kas saskaras ar klimata pārmaiņām, un viņu attīstības iespējas vai pat izdzīvošana ir atkarīga no tā, vai globālā sasilšana nepārsniegs 1,5°C salīdzinājumā ar </w:t>
      </w:r>
      <w:proofErr w:type="spellStart"/>
      <w:r>
        <w:rPr>
          <w:color w:val="000000"/>
        </w:rPr>
        <w:t>pirmsindustriālā</w:t>
      </w:r>
      <w:proofErr w:type="spellEnd"/>
      <w:r>
        <w:rPr>
          <w:color w:val="000000"/>
        </w:rPr>
        <w:t xml:space="preserve"> laikmeta līmeni. Jūs domājat par nākotni, par nabadzīgiem un neaizsargātiem cilvēkiem visā pasaulē.</w:t>
      </w:r>
    </w:p>
    <w:p w:rsidR="00EC0416" w:rsidRPr="001132FC" w:rsidRDefault="00AA379D" w:rsidP="00B82371">
      <w:pPr>
        <w:pStyle w:val="Bodytext20"/>
        <w:shd w:val="clear" w:color="auto" w:fill="auto"/>
        <w:spacing w:before="0" w:after="100" w:line="276" w:lineRule="auto"/>
        <w:ind w:firstLine="0"/>
      </w:pPr>
      <w:r>
        <w:rPr>
          <w:color w:val="000000"/>
        </w:rPr>
        <w:t>Tālāk norādītas jūsu politikas prioritātes. Jūs varat gan ierosināt, gan bloķēt jebkuru citu politikas pasākumu.</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Panākt, ka globālā sasilšana ir krietni zem 2°C un pēc iespējas tuvāk 1,5°C. </w:t>
      </w:r>
      <w:r>
        <w:rPr>
          <w:color w:val="000000"/>
        </w:rPr>
        <w:t>Temperatūras paaugstināšanās par 2°C radīs smagas sekas, kuras izjutīs mūsdienu jaunieši un neaizsargātās iedzīvotāju grupas. Viņi ir vismazāk vainojami klimata pārmaiņu izraisīšanā, bet visvairāk cietīs no ekstrēmiem laikapstākļiem, spēcīgākiem plūdiem un sausuma periodiem, karstuma viļņiem un sabiedrības veselības krīzēm. Panākot pēc iespējas lielāku vienprātību par siltumnīcefekta gāzu (SEG) emisiju samazināšanu pēc iespējas īsākā laikā, būs iespējams mazināt sekas, kas skars jaunattīstības valstis, pirmiedzīvotājus, nabadzīgus cilvēkus un jauniešus.</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Izmantojot augstas oglekļa cenas, atjaunojamās enerģijas subsidēšanu un fosilā kurināmā nodokļus, panākt strauju pāreju uz 100 % atjaunojamo energoresursu enerģiju. </w:t>
      </w:r>
      <w:r>
        <w:rPr>
          <w:color w:val="000000"/>
        </w:rPr>
        <w:t>Emisijas, kuras rada fosilais kurināmais (ogles, nafta, dabasgāze), klimata pārmaiņas ietekmē visspēcīgāk. Nekavējoties ir jāpārtrauc fosilā kurināmā ieguve, un ogleklis ir jāuzglabā zemē. Ekonomisti ir vienisprātis, ka oglekļa dioksīda (CO</w:t>
      </w:r>
      <w:r>
        <w:rPr>
          <w:vertAlign w:val="subscript"/>
        </w:rPr>
        <w:t>2</w:t>
      </w:r>
      <w:r>
        <w:rPr>
          <w:color w:val="000000"/>
        </w:rPr>
        <w:t>) emisiju cenai ir jāatspoguļo to ietekme uz vidi un sociālās sekas (cenai jābūt krietni augstākai par 50 ASV dolāriem par CO</w:t>
      </w:r>
      <w:r>
        <w:rPr>
          <w:vertAlign w:val="subscript"/>
        </w:rPr>
        <w:t>2</w:t>
      </w:r>
      <w:r>
        <w:t>tonnu</w:t>
      </w:r>
      <w:r>
        <w:rPr>
          <w:color w:val="000000"/>
        </w:rPr>
        <w:t>) un ka tas ir labākais veids, kā samazināt globālās emisijas. Pastāv arī iespēja subsidēt atjaunojamos energoresursus un/vai uzlikt nodokļus oglēm, naftai un gāzei.</w:t>
      </w:r>
    </w:p>
    <w:p w:rsidR="00EC0416" w:rsidRPr="0037523C" w:rsidRDefault="00AA379D" w:rsidP="00B82371">
      <w:pPr>
        <w:pStyle w:val="Bodytext20"/>
        <w:numPr>
          <w:ilvl w:val="0"/>
          <w:numId w:val="1"/>
        </w:numPr>
        <w:shd w:val="clear" w:color="auto" w:fill="auto"/>
        <w:spacing w:before="0" w:after="610" w:line="276" w:lineRule="auto"/>
        <w:ind w:left="400"/>
      </w:pPr>
      <w:r>
        <w:rPr>
          <w:rStyle w:val="Bodytext2Bold"/>
        </w:rPr>
        <w:lastRenderedPageBreak/>
        <w:t xml:space="preserve">Atmežošanas samazināšana. </w:t>
      </w:r>
      <w:r>
        <w:rPr>
          <w:color w:val="000000"/>
        </w:rPr>
        <w:t>Pasaulē strauji samazinās mežu platības. Atmežošana šobrīd rada apmēram 15 % no siltumnīcefekta gāzu emisijām. Jums ir jāsaglabā atlikušie meži un jāaizsargā cilvēki, tostarp pirmiedzīvotāji, kas tajos dzīvo vai ir atkarīgi no tiem. Aizsargājot mežus, tiek nodrošināta arī saldūdens piegāde un aizsargāti dabas resursi un bioloģiskā daudzveidība.</w:t>
      </w:r>
    </w:p>
    <w:p w:rsidR="00EC0416" w:rsidRPr="0037523C" w:rsidRDefault="00AA379D" w:rsidP="00B82371">
      <w:pPr>
        <w:pStyle w:val="Bodytext20"/>
        <w:numPr>
          <w:ilvl w:val="0"/>
          <w:numId w:val="1"/>
        </w:numPr>
        <w:shd w:val="clear" w:color="auto" w:fill="auto"/>
        <w:spacing w:before="0"/>
        <w:ind w:left="400"/>
      </w:pPr>
      <w:r>
        <w:rPr>
          <w:rStyle w:val="Bodytext2Bold"/>
        </w:rPr>
        <w:t xml:space="preserve">Pievērst uzmanību darbībām, kas visā pasaulē apdraud pārtikas ražošanu un zemes īpašuma tiesības. </w:t>
      </w:r>
      <w:r>
        <w:rPr>
          <w:color w:val="000000"/>
        </w:rPr>
        <w:t>Lai plašā mērogā īstenotu apmežošanas un biodegvielas ražošanas politiku un izmantotu tādas oglekļa atdalīšanas metodes kā bioenerģijas iegūšana oglekļa uztveršanas un uzglabāšanas rezultātā, ir nepieciešamas lielas zemes platības. Tas var apdraudēt pārtikas ražošanu un likt pirmiedzīvotājiem un nabadzīgiem cilvēkiem aiziet no mājām. Apsveriet, cik zemes ir nepieciešams katra konkrētā politikas pasākuma vajadzībām.</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Mudināt citas grupas aktīvi iesaistīties. </w:t>
      </w:r>
      <w:r>
        <w:rPr>
          <w:color w:val="000000"/>
        </w:rPr>
        <w:t xml:space="preserve">Kā neatkarīgiem aktīvistiem jums nav savtīgu interešu. Bet salīdzinājumā ar valdībām un fosilā kurināmā nozari jūsu spējas ietekmēt procesus nav lielas. Fosilā kurināmā ražotāji, saukdami jūs par naiviem un slikti informētiem, centīsies gan jūs, gan jūsu pārstāvētos cilvēkus </w:t>
      </w:r>
      <w:proofErr w:type="spellStart"/>
      <w:r>
        <w:rPr>
          <w:color w:val="000000"/>
        </w:rPr>
        <w:t>marginalizēt</w:t>
      </w:r>
      <w:proofErr w:type="spellEnd"/>
      <w:r>
        <w:rPr>
          <w:color w:val="000000"/>
        </w:rPr>
        <w:t xml:space="preserve">. Viņi, uzsvērdami pierādījumu trūkumu, mēģinās apšaubīt klimata zinātnes atziņas un pieturēsies pie paņēmieniem, kādus tabakas ražotāji ilgus gadus veiksmīgi izmantojuši, lai </w:t>
      </w:r>
      <w:r>
        <w:rPr>
          <w:rStyle w:val="Bodytext21"/>
        </w:rPr>
        <w:t>maldinātu sabiedrību un kavētu rīcību</w:t>
      </w:r>
      <w:r>
        <w:rPr>
          <w:color w:val="000000"/>
        </w:rPr>
        <w:t>. Vienmēr izvēlieties tādu nevardarbīgu taktiku, kas jums šķiet piemērota, lai pievērstu to cilvēku uzmanību, kuri ir pie varas. Miermīlīgas demonstrācijas un degsmes pilnas uzrunas ir piemērots paņēmiens. Saglabājiet stingru morālo stāju un atgādiniet cilvēkiem, ka jūs cīnāties par tādu pasauli, kurā visiem bērniem un cilvēkiem būs nākotne.</w:t>
      </w:r>
    </w:p>
    <w:p w:rsidR="00EC0416" w:rsidRPr="0037523C" w:rsidRDefault="00AA379D">
      <w:pPr>
        <w:pStyle w:val="Bodytext60"/>
        <w:shd w:val="clear" w:color="auto" w:fill="auto"/>
        <w:spacing w:before="0" w:after="100"/>
      </w:pPr>
      <w:r>
        <w:rPr>
          <w:color w:val="000000"/>
        </w:rPr>
        <w:t>Papildu apsvērumi</w:t>
      </w:r>
    </w:p>
    <w:p w:rsidR="00EC0416" w:rsidRPr="0037523C" w:rsidRDefault="00AA379D">
      <w:pPr>
        <w:pStyle w:val="Bodytext20"/>
        <w:shd w:val="clear" w:color="auto" w:fill="auto"/>
        <w:spacing w:before="0"/>
        <w:ind w:firstLine="0"/>
      </w:pPr>
      <w:r>
        <w:rPr>
          <w:color w:val="000000"/>
        </w:rPr>
        <w:t>Klimata kustība pieņemas spēkā. Zinātnieku vidū valda vienprātība: klimata pārmaiņas notiek tieši tagad, un to galvenais cēlonis ir cilvēka darbība. Ja tā netiks ierobežota, tiks iedragāta mūsu labklājība, veselība un dzīves apstākļi. Jauniešiem šodien ir visvairāk ko zaudēt. Viņi ir dzimuši laikā, kad noteicošs ir fosilās enerģijas izmantojums ekonomikā, kuru viņi nav radījuši, bet kura draud viņus atstāt izpostītā un bīstamā pasaulē, kur vairs nebūs tās bagātīgās augu un dzīvnieku daudzveidības, kādu ir baudījušas iepriekšējās paaudzes. Klimata pārmaiņas ir fundamentāls tiesiskuma jautājums. Jo ātrāk visi uzņēmumi, patērētāji un valstis pārtrauks radīt emisijas, jo lielāka būs varbūtība, ka mums izdosies panākt iecerēto un pāreja būs vieglāka.</w:t>
      </w:r>
    </w:p>
    <w:p w:rsidR="00EC0416" w:rsidRPr="0037523C" w:rsidRDefault="00AA379D">
      <w:pPr>
        <w:pStyle w:val="Bodytext20"/>
        <w:shd w:val="clear" w:color="auto" w:fill="auto"/>
        <w:spacing w:before="0"/>
        <w:ind w:firstLine="0"/>
      </w:pPr>
      <w:r>
        <w:rPr>
          <w:color w:val="000000"/>
        </w:rPr>
        <w:t>Samazinoties siltumnīcefekta gāzu emisijām, sabiedrība būs ieguvēja gan veselības, gan sociālā aspektā. Turklāt uzlabosies gaisa un ūdens kvalitāte, pilsētas kļūs zaļākas, būs labāks enerģijas un pārtikas nodrošinājums, uzlabosies veselība, radīsies jaunas darbvietas un palielināsies izturētspēja. Ja sasilšana tiks noturēta ne tikai zem 2°C, bet arī zem 1,5°C līmeņa, 100 miljoni cilvēku tiks izglābti no ūdens resursu trūkuma, 2 miljardi cilvēku — no bīstamiem karstuma viļņiem un daudzas augu un dzīvnieku sugas — no klimata pārmaiņu radīta izzušanas riska. Ja klimata jomā tiktu veikti pasākumi šo mērķu sasniegšanai, kopējais globālais labums varētu būt vairāk nekā 20 triljoni ASV dolāru un vienlaikus samazinātos ekonomiskā nevienlīdzība pasaulē. Klimata pārmaiņu starpvaldību padome (</w:t>
      </w:r>
      <w:r>
        <w:rPr>
          <w:i/>
          <w:iCs/>
          <w:color w:val="000000"/>
        </w:rPr>
        <w:t>IPCC</w:t>
      </w:r>
      <w:r>
        <w:rPr>
          <w:color w:val="000000"/>
        </w:rPr>
        <w:t>) ir skaidri norādījusi, ka šāda pārveide ir “</w:t>
      </w:r>
      <w:r>
        <w:rPr>
          <w:rStyle w:val="Bodytext21"/>
        </w:rPr>
        <w:t>iespējama pēc fizikas un ķīmijas likumiem</w:t>
      </w:r>
      <w:r>
        <w:rPr>
          <w:color w:val="000000"/>
        </w:rPr>
        <w:t>,” un tā ir aprakstījusi scenārijus, kurus ievērojot šo mērķi būtu iespējams sasniegt ar mūsdienu tehnoloģiju palīdzību (</w:t>
      </w:r>
      <w:hyperlink r:id="rId9" w:history="1">
        <w:r>
          <w:rPr>
            <w:rStyle w:val="Bodytext21"/>
          </w:rPr>
          <w:t>https://www.ipcc.ch/sr15/</w:t>
        </w:r>
      </w:hyperlink>
      <w:r>
        <w:t>)</w:t>
      </w:r>
      <w:r>
        <w:rPr>
          <w:color w:val="000000"/>
        </w:rPr>
        <w:t>.</w:t>
      </w:r>
    </w:p>
    <w:p w:rsidR="00EC0416" w:rsidRPr="0037523C" w:rsidRDefault="00AA379D">
      <w:pPr>
        <w:pStyle w:val="Bodytext20"/>
        <w:shd w:val="clear" w:color="auto" w:fill="auto"/>
        <w:spacing w:before="0" w:after="140"/>
        <w:ind w:firstLine="0"/>
      </w:pPr>
      <w:r>
        <w:rPr>
          <w:color w:val="000000"/>
        </w:rPr>
        <w:t xml:space="preserve">Klimata pārmaiņu sekas nebūs viendabīgas. Visnetaisnīgākais ir tas, ka cilvēki, kuri ar savu darbību globālo sasilšanu būs veicinājuši vismazāk, cietīs visvairāk, un viņiem būs vismazāk resursu un infrastruktūras, ar kuras palīdzību pielāgoties. Pasaules vismazāk aizsargāto reģionu vidū ir </w:t>
      </w:r>
      <w:proofErr w:type="spellStart"/>
      <w:r>
        <w:rPr>
          <w:color w:val="000000"/>
        </w:rPr>
        <w:t>Subsahāras</w:t>
      </w:r>
      <w:proofErr w:type="spellEnd"/>
      <w:r>
        <w:rPr>
          <w:color w:val="000000"/>
        </w:rPr>
        <w:t xml:space="preserve"> Āfrika, Dienvidāzija un </w:t>
      </w:r>
      <w:proofErr w:type="spellStart"/>
      <w:r>
        <w:rPr>
          <w:color w:val="000000"/>
        </w:rPr>
        <w:t>Dienvidaustrumāzija</w:t>
      </w:r>
      <w:proofErr w:type="spellEnd"/>
      <w:r>
        <w:rPr>
          <w:color w:val="000000"/>
        </w:rPr>
        <w:t xml:space="preserve">, Latīņamerika, salu reģioni Klusajā okeānā un citur pasaulē. Daudzas jaunattīstības valstis ir lielā mērā atkarīgas no nozarēm, ko spēcīgi ietekmē klimats. Tās ir lauksaimniecība, mežsaimniecība un tūrisms. Arī attīstītajās valstīs klimata pārmaiņu sekas vissmagāk izjūt nabadzīgie cilvēki, lauksaimnieki un citi </w:t>
      </w:r>
      <w:proofErr w:type="spellStart"/>
      <w:r>
        <w:rPr>
          <w:color w:val="000000"/>
        </w:rPr>
        <w:t>mazaizsargāti</w:t>
      </w:r>
      <w:proofErr w:type="spellEnd"/>
      <w:r>
        <w:rPr>
          <w:color w:val="000000"/>
        </w:rPr>
        <w:t xml:space="preserve"> iedzīvotāji.</w:t>
      </w:r>
    </w:p>
    <w:p w:rsidR="00EC0416" w:rsidRPr="0037523C" w:rsidRDefault="00AA379D">
      <w:pPr>
        <w:pStyle w:val="Bodytext20"/>
        <w:shd w:val="clear" w:color="auto" w:fill="auto"/>
        <w:spacing w:before="0" w:after="0" w:line="244" w:lineRule="exact"/>
        <w:ind w:firstLine="0"/>
      </w:pPr>
      <w:r>
        <w:rPr>
          <w:color w:val="000000"/>
        </w:rPr>
        <w:t>Pasaule ir vēl nebijušu pārbaudījumu priekšā. Lai jums veicas! Nākotne ir atkarīga no jūsu panākumiem.</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Izstrādātāji: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School of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w:t>
    </w:r>
    <w:proofErr w:type="spellStart"/>
    <w:r>
      <w:rPr>
        <w:i/>
        <w:sz w:val="18"/>
        <w:szCs w:val="18"/>
      </w:rPr>
      <w:t>Business</w:t>
    </w:r>
    <w:proofErr w:type="spellEnd"/>
    <w:r>
      <w:rPr>
        <w:i/>
        <w:sz w:val="18"/>
        <w:szCs w:val="18"/>
      </w:rPr>
      <w:t xml:space="preserve"> School un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Pēdējo reizi atjaunināts 2019. gada septembrī.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2E0370"/>
    <w:rsid w:val="0037523C"/>
    <w:rsid w:val="00844BE1"/>
    <w:rsid w:val="008934BE"/>
    <w:rsid w:val="00A02954"/>
    <w:rsid w:val="00A719DE"/>
    <w:rsid w:val="00AA379D"/>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AB45C31-ECD6-4430-BB5B-ABAFE9C6C9F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CTJJHAUHWN5E-644613129-2912</_dlc_DocId>
    <_dlc_DocIdUrl xmlns="bfc960a6-20da-4c94-8684-71380fca093b">
      <Url>http://dm2016/eesc/2019/_layouts/15/DocIdRedir.aspx?ID=CTJJHAUHWN5E-644613129-2912</Url>
      <Description>CTJJHAUHWN5E-644613129-2912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D642FC-D0F3-4F1E-9F19-8147ECF3FCF6}"/>
</file>

<file path=customXml/itemProps2.xml><?xml version="1.0" encoding="utf-8"?>
<ds:datastoreItem xmlns:ds="http://schemas.openxmlformats.org/officeDocument/2006/customXml" ds:itemID="{BEF2A5DA-277E-4395-8D37-D3F56C43766C}"/>
</file>

<file path=customXml/itemProps3.xml><?xml version="1.0" encoding="utf-8"?>
<ds:datastoreItem xmlns:ds="http://schemas.openxmlformats.org/officeDocument/2006/customXml" ds:itemID="{B04E3BE3-9A60-412E-BF92-B74857581D5C}"/>
</file>

<file path=customXml/itemProps4.xml><?xml version="1.0" encoding="utf-8"?>
<ds:datastoreItem xmlns:ds="http://schemas.openxmlformats.org/officeDocument/2006/customXml" ds:itemID="{4BC3CA87-E7F2-4805-89DA-FDCD1D12B023}"/>
</file>

<file path=docProps/app.xml><?xml version="1.0" encoding="utf-8"?>
<Properties xmlns="http://schemas.openxmlformats.org/officeDocument/2006/extended-properties" xmlns:vt="http://schemas.openxmlformats.org/officeDocument/2006/docPropsVTypes">
  <Template>Styles.dotm</Template>
  <TotalTime>8</TotalTime>
  <Pages>2</Pages>
  <Words>1190</Words>
  <Characters>6787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III grupa - klimata taisnīguma vanagi</dc:title>
  <cp:keywords>EESC-2019-05163-02-00-INFO-TRA-EN</cp:keywords>
  <dc:description>Rapporteur:  - Original language: EN - Date of document: 10/12/2019 - Date of meeting:  - External documents:  - Administrator: MME LAHOUSSE Chloé</dc:description>
  <cp:lastModifiedBy>Jolanta Erlate</cp:lastModifiedBy>
  <cp:revision>5</cp:revision>
  <dcterms:created xsi:type="dcterms:W3CDTF">2019-11-15T09:21:00Z</dcterms:created>
  <dcterms:modified xsi:type="dcterms:W3CDTF">2019-12-10T09:34:00Z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c3b23ff8-6765-4547-9b92-9d25502c485d</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e85a0f96ad0e;#65;#ET|ff6c3f4c-b02c-4c3c-ab07-2c37995a7a0a;#59;#HR|2f555653-ed1a-4fe6-8362-9082d95989e5;#152;#MK|34ce48bb-063e-4413-a932-50853dc71c5c;#154;#SQ|5ac17240-8d11-45ec-9893-659b209d7a00;#25;#SK|46d9fce0-ef79-4f71-b89b-cd6aa82426b8;#17;#ES|e7a6b05b-ae16-40c8-add9-68b64b03aeba;#64;#PT|50ccc04a-eadd-42ae-a0cb-acaf45f812ba;#49;#EL|6d4f4d51-af9b-4650-94b4-4276bee85c91;#58;#LV|46f7e311-5d9f-4663-b433-18aeccb7ace7;#60;#HU|6b229040-c589-4408-b4c1-4285663d20a8;#162;#TR|6e4ededd-04c4-4fa0-94e0-1028050302d5;#153;#SR|7f3a1d13-b985-4bfd-981e-afe31377edff;#38;#SV|c2ed69e7-a339-43d7-8f22-d93680a92aa0;#45;#NL|55c6556c-b4f4-441d-9acf-c498d4f838bd;#62;#FI|87606a43-d45f-42d6-b8c9-e1a3457db5b7;#48;#LT|a7ff5ce7-6123-4f68-865a-a57c31810414;#72;#GA|762d2456-c427-4ecb-b312-af3dad8e258c;#21;#IT|0774613c-01ed-4e5d-a25d-11d2388de825;#55;#BG|1a1b3951-7821-4e6a-85f5-5673fc08bd2c;#16;#PL|1e03da61-4678-4e07-b136-b5024ca9197b;#46;#CS|72f9705b-0217-4fd3-bea2-cbc7ed80e26e;#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FR|d2afafd3-4c81-4f60-8f52-ee33f2f54ff3;DA|5d49c027-8956-412b-aa16-e85a0f96ad0e;HR|2f555653-ed1a-4fe6-8362-9082d95989e5;MK|34ce48bb-063e-4413-a932-50853dc71c5c;SQ|5ac17240-8d11-45ec-9893-659b209d7a00;SK|46d9fce0-ef79-4f71-b89b-cd6aa82426b8;ES|e7a6b05b-ae16-40c8-add9-68b64b03aeba;PT|50ccc04a-eadd-42ae-a0cb-acaf45f812ba;EL|6d4f4d51-af9b-4650-94b4-4276bee85c91;HU|6b229040-c589-4408-b4c1-4285663d20a8;TR|6e4ededd-04c4-4fa0-94e0-1028050302d5;SR|7f3a1d13-b985-4bfd-981e-afe31377edff;SV|c2ed69e7-a339-43d7-8f22-d93680a92aa0;NL|55c6556c-b4f4-441d-9acf-c498d4f838bd;FI|87606a43-d45f-42d6-b8c9-e1a3457db5b7;LT|a7ff5ce7-6123-4f68-865a-a57c31810414;IT|0774613c-01ed-4e5d-a25d-11d2388de825;BG|1a1b3951-7821-4e6a-85f5-5673fc08bd2c;PL|1e03da61-4678-4e07-b136-b5024ca9197b;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152;#MK|34ce48bb-063e-4413-a932-50853dc71c5c;#62;#FI|87606a43-d45f-42d6-b8c9-e1a3457db5b7;#60;#HU|6b229040-c589-4408-b4c1-4285663d20a8;#59;#HR|2f555653-ed1a-4fe6-8362-9082d95989e5;#56;#SL|98a412ae-eb01-49e9-ae3d-585a81724cfc;#55;#BG|1a1b3951-7821-4e6a-85f5-5673fc08bd2c;#52;#DA|5d49c027-8956-412b-aa16-e85a0f96ad0e;#49;#EL|6d4f4d51-af9b-4650-94b4-4276bee85c91;#48;#LT|a7ff5ce7-6123-4f68-865a-a57c31810414;#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58;#LV|46f7e311-5d9f-4663-b433-18aeccb7ace7</vt:lpwstr>
  </property>
</Properties>
</file>